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65" w:rsidRDefault="00FE2065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</w:p>
    <w:p w:rsidR="00FE2065" w:rsidRDefault="00FE2065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</w:p>
    <w:p w:rsidR="00E96890" w:rsidRPr="00E96890" w:rsidRDefault="00E96890" w:rsidP="00E96890">
      <w:pPr>
        <w:pStyle w:val="Heading6"/>
        <w:ind w:left="5245"/>
        <w:jc w:val="center"/>
        <w:rPr>
          <w:rFonts w:ascii="Verdana" w:hAnsi="Verdana"/>
          <w:b w:val="0"/>
          <w:sz w:val="24"/>
        </w:rPr>
      </w:pPr>
      <w:r w:rsidRPr="00E96890">
        <w:rPr>
          <w:rFonts w:ascii="Verdana" w:hAnsi="Verdana"/>
          <w:sz w:val="24"/>
        </w:rPr>
        <w:t>УТВЕРЖДАЮ</w:t>
      </w:r>
    </w:p>
    <w:p w:rsidR="00E96890" w:rsidRPr="00E96890" w:rsidRDefault="00E96890" w:rsidP="00E96890">
      <w:pPr>
        <w:ind w:left="5245"/>
        <w:jc w:val="center"/>
        <w:rPr>
          <w:rFonts w:ascii="Verdana" w:hAnsi="Verdana"/>
          <w:b/>
        </w:rPr>
      </w:pPr>
      <w:r w:rsidRPr="00E96890">
        <w:rPr>
          <w:rFonts w:ascii="Verdana" w:hAnsi="Verdana"/>
          <w:b/>
        </w:rPr>
        <w:t>Генеральный Директор</w:t>
      </w:r>
    </w:p>
    <w:p w:rsidR="00E96890" w:rsidRPr="00E96890" w:rsidRDefault="00E96890" w:rsidP="00E96890">
      <w:pPr>
        <w:ind w:left="5245"/>
        <w:jc w:val="center"/>
        <w:rPr>
          <w:rFonts w:ascii="Verdana" w:hAnsi="Verdana"/>
          <w:b/>
        </w:rPr>
      </w:pPr>
      <w:r w:rsidRPr="00E96890">
        <w:rPr>
          <w:rFonts w:ascii="Verdana" w:hAnsi="Verdana"/>
          <w:b/>
        </w:rPr>
        <w:t>____________________</w:t>
      </w:r>
    </w:p>
    <w:p w:rsidR="00E96890" w:rsidRPr="00E96890" w:rsidRDefault="00E96890" w:rsidP="00E96890">
      <w:pPr>
        <w:ind w:left="5245"/>
        <w:jc w:val="center"/>
        <w:rPr>
          <w:rFonts w:ascii="Verdana" w:hAnsi="Verdana"/>
        </w:rPr>
      </w:pPr>
    </w:p>
    <w:p w:rsidR="00E96890" w:rsidRPr="00E96890" w:rsidRDefault="00E96890" w:rsidP="00E96890">
      <w:pPr>
        <w:pStyle w:val="Heading1"/>
        <w:ind w:left="5245"/>
        <w:jc w:val="center"/>
        <w:rPr>
          <w:rFonts w:ascii="Verdana" w:hAnsi="Verdana"/>
          <w:b/>
        </w:rPr>
      </w:pPr>
      <w:r w:rsidRPr="00E96890">
        <w:rPr>
          <w:rFonts w:ascii="Verdana" w:hAnsi="Verdana"/>
          <w:b/>
        </w:rPr>
        <w:t>«___» __________ 20__г.</w:t>
      </w:r>
    </w:p>
    <w:p w:rsidR="00FE2065" w:rsidRPr="00E96890" w:rsidRDefault="00FE2065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</w:p>
    <w:p w:rsidR="00FE2065" w:rsidRDefault="00FE2065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</w:p>
    <w:p w:rsidR="00FE2065" w:rsidRDefault="00FE2065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</w:p>
    <w:p w:rsidR="00FE2065" w:rsidRDefault="00FE2065" w:rsidP="00FE2065">
      <w:pPr>
        <w:ind w:left="-720"/>
        <w:jc w:val="both"/>
        <w:rPr>
          <w:rFonts w:ascii="Verdana" w:hAnsi="Verdana" w:cs="Verdana"/>
          <w:b/>
          <w:bCs/>
          <w:color w:val="000000"/>
          <w:lang w:val="ru-RU"/>
        </w:rPr>
      </w:pPr>
    </w:p>
    <w:p w:rsidR="00FE2065" w:rsidRPr="00E20911" w:rsidRDefault="00E87E38" w:rsidP="00FE2065">
      <w:pPr>
        <w:jc w:val="center"/>
        <w:rPr>
          <w:rFonts w:ascii="Verdana" w:hAnsi="Verdana" w:cs="Verdana"/>
          <w:b/>
          <w:bCs/>
          <w:color w:val="000000"/>
          <w:lang w:val="ru-RU"/>
        </w:rPr>
      </w:pPr>
      <w:bookmarkStart w:id="0" w:name="_GoBack"/>
      <w:r>
        <w:rPr>
          <w:rFonts w:ascii="Verdana" w:hAnsi="Verdana" w:cs="Verdana"/>
          <w:b/>
          <w:bCs/>
          <w:color w:val="000000"/>
          <w:lang w:val="ru-RU"/>
        </w:rPr>
        <w:t>Делегирование</w:t>
      </w:r>
      <w:r w:rsidRPr="00E20911">
        <w:rPr>
          <w:rFonts w:ascii="Verdana" w:hAnsi="Verdana" w:cs="Verdana"/>
          <w:b/>
          <w:bCs/>
          <w:color w:val="000000"/>
          <w:lang w:val="ru-RU"/>
        </w:rPr>
        <w:t xml:space="preserve"> полномочий</w:t>
      </w:r>
    </w:p>
    <w:bookmarkEnd w:id="0"/>
    <w:p w:rsidR="00FE2065" w:rsidRPr="00E20911" w:rsidRDefault="00FE2065" w:rsidP="00FE2065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5A26B0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5A26B0">
        <w:t>ПОЛИТИКА</w:t>
      </w:r>
    </w:p>
    <w:p w:rsidR="00FE2065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Акционеры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 </w:t>
      </w:r>
      <w:r w:rsidR="00E96890" w:rsidRPr="00E96890">
        <w:rPr>
          <w:rFonts w:ascii="Verdana" w:hAnsi="Verdana" w:cs="Verdana"/>
          <w:color w:val="000000"/>
          <w:sz w:val="22"/>
          <w:szCs w:val="22"/>
          <w:lang w:val="ru-RU"/>
        </w:rPr>
        <w:t>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располагают всеми необходимыми полномочиями для ведения дел Компании, осуществляя руководство и управление через своих представителей в Совете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 Совет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действуя в соответствии с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уставом</w:t>
      </w:r>
      <w:r w:rsidR="004D63AE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 w:rsidRPr="00E96890">
        <w:rPr>
          <w:rFonts w:ascii="Verdana" w:hAnsi="Verdana" w:cs="Verdana"/>
          <w:color w:val="000000"/>
          <w:sz w:val="22"/>
          <w:szCs w:val="22"/>
          <w:lang w:val="ru-RU"/>
        </w:rPr>
        <w:t>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определяет стратегическое направление деятельности Компании, дает общие установки, делегирует полномочия по управлению Компанией, рассматривает все существенные вопросы, связанные с деятельностью Компании. </w:t>
      </w:r>
    </w:p>
    <w:p w:rsidR="00FE2065" w:rsidRPr="00E20911" w:rsidRDefault="00E96890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Генеральный Директор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является высшим должностным лицом </w:t>
      </w:r>
      <w:r w:rsidRPr="00E96890">
        <w:rPr>
          <w:rFonts w:ascii="Verdana" w:hAnsi="Verdana" w:cs="Verdana"/>
          <w:color w:val="000000"/>
          <w:sz w:val="22"/>
          <w:szCs w:val="22"/>
          <w:lang w:val="ru-RU"/>
        </w:rPr>
        <w:t>_______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которому подчиняются все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сотрудники компании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обязан действовать в соответствии с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уставом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>, однако он имеет только такие права и обязанности, которые периодически делегирует ему Совет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 Директоров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Такая передача полномочий осуществляется путем утверждения Советом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рабочей программы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соответствующих бюджетов. </w:t>
      </w:r>
    </w:p>
    <w:p w:rsidR="00FE2065" w:rsidRPr="00E20911" w:rsidRDefault="00E96890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путем передачи своих прав и обязанностей официально наделяет определенными полномочиями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а по административным вопросам,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а по финансам,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Орерационного Директора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, а так же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других соответствующих представителей Компании.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Цель Компании — обеспечить этичность осуществления таких полномочий в соответствии с общепринятой практикой деловых отношений и с учетом роли Компании как хозяйствующего субъекта, осуществляющего операции на территории Республики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Казахстан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Обязательства принимаются таким образом и в отношении таких видов деятельности, которые не противоречат учредительным документам Компании и утвержденным планам Компании. </w:t>
      </w:r>
    </w:p>
    <w:p w:rsidR="00FE2065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За исключением случаев угрозы жизни людей и сохранности имущества, не могут приниматься обязательства, непредусмотренные утвержденным бюджетом или не соответствующие действующим в Компании правилам и положениям. </w:t>
      </w:r>
    </w:p>
    <w:p w:rsidR="00FE2065" w:rsidRPr="005A26B0" w:rsidRDefault="00FE2065" w:rsidP="00FE2065">
      <w:pPr>
        <w:pStyle w:val="Default"/>
        <w:rPr>
          <w:lang w:val="ru-RU"/>
        </w:rPr>
      </w:pPr>
    </w:p>
    <w:p w:rsidR="00FE2065" w:rsidRPr="00E20911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E20911">
        <w:t xml:space="preserve">СФЕРА ДЕЙСТВИЯ </w:t>
      </w:r>
    </w:p>
    <w:p w:rsidR="00FE2065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Настоящ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ая Политика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распространяется на все оформляемые от имени Компании 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 xml:space="preserve">обязательства, согласования и документы и производимые от имени Компании затраты. </w:t>
      </w:r>
    </w:p>
    <w:p w:rsidR="00FE2065" w:rsidRPr="005A26B0" w:rsidRDefault="00FE2065" w:rsidP="00FE2065">
      <w:pPr>
        <w:pStyle w:val="Default"/>
        <w:rPr>
          <w:lang w:val="ru-RU"/>
        </w:rPr>
      </w:pP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E20911">
        <w:t xml:space="preserve">ПРЕДЪЯВЛЯЕМЫЕ ТРЕБОВАНИЯ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5A26B0" w:rsidRDefault="00FE2065" w:rsidP="00FE2065">
      <w:pPr>
        <w:pStyle w:val="Heading1"/>
        <w:spacing w:after="120"/>
        <w:jc w:val="both"/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</w:pPr>
      <w:r w:rsidRPr="005A26B0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 xml:space="preserve">Полномочия Совета Директоров </w:t>
      </w:r>
    </w:p>
    <w:p w:rsidR="00FE2065" w:rsidRPr="00AF38C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Среди прочих обязанностей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,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Совет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принимает решения по основным вопросам, </w:t>
      </w:r>
      <w:r w:rsidRPr="005A26B0">
        <w:rPr>
          <w:rFonts w:ascii="Verdana" w:hAnsi="Verdana" w:cs="Verdana"/>
          <w:color w:val="000000"/>
          <w:sz w:val="22"/>
          <w:szCs w:val="22"/>
          <w:lang w:val="ru-RU"/>
        </w:rPr>
        <w:t>с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вязанным с деятельностью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AF38C1">
        <w:rPr>
          <w:rFonts w:ascii="Verdana" w:hAnsi="Verdana" w:cs="Verdana"/>
          <w:color w:val="000000"/>
          <w:sz w:val="22"/>
          <w:szCs w:val="22"/>
          <w:lang w:val="ru-RU"/>
        </w:rPr>
        <w:t xml:space="preserve">, в частности: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ежегодных бюджетов, ежегодных рабочих программ, прогнозов движения денежных средств, а также всех изменений и дополнений к утвержденной рабочей программе и бюджету;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дополнительных работ, не предусмотренных никакими статьями, планами и программами, а также расходов, превышающих 250 тыс. долл. и не предусмотренных бюджетом;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определение сроков и размеров запросов наличности партнеров (кроме тех, которые необходимы для уже утвержденных затрат), а также условия связанных с этим кредитов (в части, не охваченных бюджетом);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определение категории выплат партнерам (проценты, погашение ссуд, распределение прибыли, уменьшение/увеличение Уставного фонда по решению партнеров), в том числе заявления о распределении прибыли;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снятие с должности Председателя Совета Директоров и </w:t>
      </w:r>
      <w:r w:rsidR="00E96890">
        <w:rPr>
          <w:b w:val="0"/>
          <w:bCs/>
        </w:rPr>
        <w:t>Генерального Директора</w:t>
      </w:r>
      <w:r w:rsidRPr="005A26B0">
        <w:rPr>
          <w:b w:val="0"/>
          <w:bCs/>
        </w:rPr>
        <w:t xml:space="preserve">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организационной структуры управления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(за исключением числа их работников, что входит в компетенцию  </w:t>
      </w:r>
      <w:r w:rsidR="00E96890">
        <w:rPr>
          <w:b w:val="0"/>
          <w:bCs/>
        </w:rPr>
        <w:t>Генерального Директора</w:t>
      </w:r>
      <w:r w:rsidRPr="005A26B0">
        <w:rPr>
          <w:b w:val="0"/>
          <w:bCs/>
        </w:rPr>
        <w:t xml:space="preserve">), утверждение (по предложению </w:t>
      </w:r>
      <w:r w:rsidR="00E96890">
        <w:rPr>
          <w:b w:val="0"/>
          <w:bCs/>
        </w:rPr>
        <w:t>Генерального Директора</w:t>
      </w:r>
      <w:r w:rsidRPr="005A26B0">
        <w:rPr>
          <w:b w:val="0"/>
          <w:bCs/>
        </w:rPr>
        <w:t xml:space="preserve">) на должность руководителей, которые непосредственно подчиняются </w:t>
      </w:r>
      <w:r w:rsidR="00E96890">
        <w:rPr>
          <w:b w:val="0"/>
          <w:bCs/>
        </w:rPr>
        <w:t>Генеральному Директор</w:t>
      </w:r>
      <w:r w:rsidRPr="005A26B0">
        <w:rPr>
          <w:b w:val="0"/>
          <w:bCs/>
        </w:rPr>
        <w:t xml:space="preserve">у;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подача заявок на выделение участков или получение лицензий для ведения геологоразведочных или производственных работ, а также отказ от них;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общих правил использования нефтяных, газовых и газоконденсатных месторождений и решений по прекращению использования промысловых объектов;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рассмотрение вопросов, решение по которым в соответствии с уставом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принимается на собственный риск, а также утверждение буровых работ, производимых на собственный риск; </w:t>
      </w:r>
    </w:p>
    <w:p w:rsidR="00FE2065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заключение, расторжение или существенное изменение: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5A26B0" w:rsidRDefault="00FE2065" w:rsidP="00FE2065">
      <w:pPr>
        <w:pStyle w:val="UzPECPP"/>
        <w:widowControl/>
        <w:numPr>
          <w:ilvl w:val="2"/>
          <w:numId w:val="8"/>
        </w:numPr>
        <w:tabs>
          <w:tab w:val="num" w:pos="1440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необычных или обременительных контрактов или договоренностей, выходящих за рамки обычной деятельности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; </w:t>
      </w:r>
    </w:p>
    <w:p w:rsidR="00FE2065" w:rsidRDefault="00FE2065" w:rsidP="00FE2065">
      <w:pPr>
        <w:pStyle w:val="UzPECPP"/>
        <w:widowControl/>
        <w:numPr>
          <w:ilvl w:val="2"/>
          <w:numId w:val="8"/>
        </w:numPr>
        <w:tabs>
          <w:tab w:val="num" w:pos="1440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контрактов, которые (1) не включены в бюджет или (2) не выставлены на тендер, хотя и  включены в утвержденный бюджет, и которые: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5A26B0" w:rsidRDefault="00FE2065" w:rsidP="00FE2065">
      <w:pPr>
        <w:pStyle w:val="UzPECPP"/>
        <w:widowControl/>
        <w:numPr>
          <w:ilvl w:val="3"/>
          <w:numId w:val="8"/>
        </w:numPr>
        <w:tabs>
          <w:tab w:val="num" w:pos="936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действительны на срок более двух лет; </w:t>
      </w:r>
    </w:p>
    <w:p w:rsidR="00FE2065" w:rsidRDefault="00FE2065" w:rsidP="00FE2065">
      <w:pPr>
        <w:pStyle w:val="UzPECPP"/>
        <w:widowControl/>
        <w:numPr>
          <w:ilvl w:val="3"/>
          <w:numId w:val="8"/>
        </w:numPr>
        <w:tabs>
          <w:tab w:val="num" w:pos="936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lastRenderedPageBreak/>
        <w:t xml:space="preserve">оцениваются на сумму, превышающую 1 млн. долл. (или эквивалентную стоимость в другой валюте);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заключение контрактов или договоренностей: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5A26B0" w:rsidRDefault="00FE2065" w:rsidP="00FE2065">
      <w:pPr>
        <w:pStyle w:val="UzPECPP"/>
        <w:widowControl/>
        <w:numPr>
          <w:ilvl w:val="2"/>
          <w:numId w:val="8"/>
        </w:numPr>
        <w:tabs>
          <w:tab w:val="num" w:pos="1440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с каким-либо участником или его филиалом, которые не предусмотрены бюджетом и стоимость которых в каждом случае превышает 250 тыс. долл. в год; </w:t>
      </w:r>
    </w:p>
    <w:p w:rsidR="00FE2065" w:rsidRDefault="00FE2065" w:rsidP="00FE2065">
      <w:pPr>
        <w:pStyle w:val="UzPECPP"/>
        <w:widowControl/>
        <w:numPr>
          <w:ilvl w:val="2"/>
          <w:numId w:val="8"/>
        </w:numPr>
        <w:tabs>
          <w:tab w:val="num" w:pos="1440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с членом Совета Директоров или с какой-либо заинтересованной стороной такого члена Совета Директоров.</w:t>
      </w:r>
    </w:p>
    <w:p w:rsidR="00FE2065" w:rsidRPr="005A26B0" w:rsidRDefault="00FE2065" w:rsidP="00FE2065">
      <w:pPr>
        <w:pStyle w:val="UzPECPP"/>
        <w:numPr>
          <w:ilvl w:val="0"/>
          <w:numId w:val="0"/>
        </w:numPr>
        <w:ind w:left="576"/>
        <w:rPr>
          <w:b w:val="0"/>
          <w:bCs/>
        </w:rPr>
      </w:pPr>
      <w:r w:rsidRPr="005A26B0">
        <w:rPr>
          <w:b w:val="0"/>
          <w:bCs/>
        </w:rPr>
        <w:t xml:space="preserve">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предоставление со стороны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каких-либо финансовых гарантий или принятие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каких-либо обязательств в отношении залога и освобождения от ответственности;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получение кредитов (кроме кредитов, получаемых в ходе обычной деятельности, по Кредитным соглашениям);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создание фонда ликвидации имущества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открытие или закрытие банковских счетов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и существенное изменение данных банку указаний (кроме случаев, допускаемых установленным Порядком отчетности);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назначение ревизоров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и членов Ревизионной комиссии, утверждение отчетов Ревизионной комиссии, годовых/полугодовых отчетов, баланса, отчетов о прибылях и убытках;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всех планов сбыта продукции и поименного перечня покупателей;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создание и ликвидация филиалов и постоянных представительств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, начало какой-либо новой деятельности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>, использование при ведении коммерческой деятельности какого-либо другого названия, кроме «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», прекращение какой-либо деятельности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слияний и поглощений, распоряжение какой-либо долей в ценных бумагах, правах, торговых операциях и активах других предприятий, компаний, организаций или товариществ;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всех договоренностей о продаже, передаче, аренде, лицензированиии, правах использования или распоряжения всем или значительным объемом производства, имущества или обязательств; 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ликвидация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или прекращение его деятельности, назначение ликвидатора, или управляющего конкурсной массой, вступление в договоренности с кредиторами и т.д.;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оформление существенных (превышающих 250 тыс. долл.) требований, отказов от прав,  выбора прав или согласия в какой-либо налоговой юрисдикции, а также начало, окончание и защита требований, судебных исков и других действий, предпринимаемых в арбитражном, судебном или административном порядке, стоимость которых превышает 250 тыс. долл.;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утверждение плана страхования и лимитов страхования, кроме страховки, получаемой в обычном порядке в отношении услуг, оказываемых третьими сторонами;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публичные заявления по конфиденциальным вопросам или о коммерческой деятельности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, раскрытие </w:t>
      </w:r>
      <w:r w:rsidRPr="005A26B0">
        <w:rPr>
          <w:b w:val="0"/>
          <w:bCs/>
        </w:rPr>
        <w:lastRenderedPageBreak/>
        <w:t xml:space="preserve">конфиденциальной информации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третьим лицам (кроме случаев, предусмотренных законом).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вступает в или осуществляет поправку к какому-либо соглашению о займе с партнёром или его филиалом, относительно либо (а) активов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, приобретённых согласно Соглашения о Продаже и Приобретение Активов, либо (б) денежных средств, выделяемых согласно запросов; за исключением тех случаев, когда такие займы или поправки к соглашениям представляются партнёрами на одинаковых условиях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pStyle w:val="Default"/>
        <w:jc w:val="both"/>
        <w:rPr>
          <w:rFonts w:ascii="Verdana" w:hAnsi="Verdana" w:cs="Verdana"/>
          <w:sz w:val="22"/>
          <w:szCs w:val="22"/>
          <w:lang w:val="ru-RU"/>
        </w:rPr>
      </w:pPr>
    </w:p>
    <w:p w:rsidR="00FE2065" w:rsidRPr="005A26B0" w:rsidRDefault="00FE2065" w:rsidP="00FE2065">
      <w:pPr>
        <w:pStyle w:val="Heading1"/>
        <w:spacing w:after="120"/>
        <w:jc w:val="both"/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</w:pPr>
      <w:r w:rsidRPr="005A26B0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 xml:space="preserve">Полномочия </w:t>
      </w:r>
      <w:r w:rsidR="00E96890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>Генерального Директор</w:t>
      </w:r>
      <w:r w:rsidRPr="005A26B0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 xml:space="preserve">а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С учетом вышеуказанных ограничений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имеет право принятия договорных обязательств, право утверждения расходов и право утверждения административно-хозяйственных мероприятий в пределах сферы действия и долларовой стоимости утвержденного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бюджета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С учетом соответствующих правил и положений Компании об ассигновании средств, прогнозировании и оформлении документации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также имеет п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раво утверждения разрешений на производство затрат, а также исполнительные полномочия в отношении всех таких обязательств и затрат.  </w:t>
      </w:r>
    </w:p>
    <w:p w:rsidR="00FE2065" w:rsidRPr="00E20911" w:rsidRDefault="00E96890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имеет право по мере необходимости периодически передавать любые из указанных полномочий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у по административным вопросам,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у по финансам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Операционному Директору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Полномочия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а по административным вопросам,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а по финансам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О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перационного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 Д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иректора.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От имени Совета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по финансам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имеет право на утверждение платежей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и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юридическую санкцию.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В свою очередь,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по финансам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может передать такие полномочия внутри своего отдела в соответствии с принятой практикой деловых отношений.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Все прочие права и полномочия по принятию обязательств, по утверждению и подписи от имени Компании (т.е. принятие договорных обязательств, утверждение расходов, разрешение на производство затрат, утверждение административно-хозяйственных мероприятий, а также исполнительные полномочия) сохраняются за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Генеральным 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ом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а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по административным вопросам,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по финансам и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Операционный Директор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обладают ими только в силу действительного документа о передаче полномочий, оформляемого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Генеральным 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как указано выше.  Осуществление таких переданных полномочий и обязанностей за пределами установленных уровней и/или категорий, ни в коем случае неприменимо и  считается недействительным.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Например, в рамках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рабочей программы: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распределяет по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департаментам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средства утвержденного на Совете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бюджета для выполнения индивидуальных производственных задач отделов по утвержденно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й рабочей программе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 Затем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передает соответствующие полномочия руководителям конкретных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департаментов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Это предоставляет им право заключать контракты и возлагать на Компанию 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 xml:space="preserve">обязательства в пределах сферы применения и долларовой стоимости выделенной им части утвержденного бюджета и в границах уровней и/или категорий, приведенных в соответствующей  передаче полномочий.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Все подобные полномочия осуществляются в соответствии с установленными в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правилами, общепринятой практикой деловых отношений, действующим законодательством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Республики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Казахстан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и нормативными актами.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25787B">
        <w:t xml:space="preserve">ДОВЕРЕННОСТИ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E20911" w:rsidRDefault="00E96890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может назначаить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каждую из упомянутых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выше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сторон как своего правомочного представителя для составления, подписания, проставления оттиска  печати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на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договор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ах и прочих документах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по обязательствам от своего имени, которые были утверждены соответствующими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департаментами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(за исключением случаев реализации или перемещения материальных активов или материалов) и которые не превышают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установленные им лимиты.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Вышеупомянутая передача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полномочий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остается в полной силе и действительна до её отзыва, целиком или частично,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в письменной форме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.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 </w:t>
      </w:r>
    </w:p>
    <w:p w:rsidR="00FE2065" w:rsidRPr="005A26B0" w:rsidRDefault="00FE2065" w:rsidP="00FE2065">
      <w:pPr>
        <w:pStyle w:val="Header"/>
        <w:spacing w:after="120"/>
        <w:jc w:val="both"/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</w:pPr>
      <w:r w:rsidRPr="005A26B0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 xml:space="preserve">Дальнейшее делегирование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pStyle w:val="Header"/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Делегированные таким образом полномочия в соответствующих случаях могут передаваться и далее в целях повышения эффективности деятельности Компании при условии письменного оформления. (О документации по передаче полномочий по принятию договорных обязательств и исполнительных полномочий, которая должна представляться третьей стороне в подтверждение права представителя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связывать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соответствующими обязательствами, см. Положение </w:t>
      </w:r>
      <w:r>
        <w:rPr>
          <w:rFonts w:ascii="Verdana" w:hAnsi="Verdana" w:cs="Verdana"/>
          <w:color w:val="000000"/>
          <w:sz w:val="22"/>
          <w:szCs w:val="22"/>
        </w:rPr>
        <w:t>GEN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.0</w:t>
      </w:r>
      <w:r w:rsidRPr="005A26B0">
        <w:rPr>
          <w:rFonts w:ascii="Verdana" w:hAnsi="Verdana" w:cs="Verdana"/>
          <w:color w:val="000000"/>
          <w:sz w:val="22"/>
          <w:szCs w:val="22"/>
          <w:lang w:val="ru-RU"/>
        </w:rPr>
        <w:t>5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.</w:t>
      </w:r>
      <w:r w:rsidRPr="005A26B0">
        <w:rPr>
          <w:rFonts w:ascii="Verdana" w:hAnsi="Verdana" w:cs="Verdana"/>
          <w:color w:val="000000"/>
          <w:sz w:val="22"/>
          <w:szCs w:val="22"/>
          <w:lang w:val="ru-RU"/>
        </w:rPr>
        <w:t>00.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01 «О предоставлении доверенности».)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222AF8">
        <w:t xml:space="preserve">ИСПОЛЬЗУЕМЫЕ ТЕРМИНЫ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Используемые в настоящей Политике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термины имеют следующие значения: </w:t>
      </w:r>
    </w:p>
    <w:p w:rsidR="00FE2065" w:rsidRPr="005A26B0" w:rsidRDefault="00FE2065" w:rsidP="00FE2065">
      <w:pPr>
        <w:pStyle w:val="Default"/>
        <w:rPr>
          <w:lang w:val="ru-RU"/>
        </w:rPr>
      </w:pP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Полномочия утверждать разрешения на производство затрат (AFE)</w:t>
      </w:r>
      <w:r w:rsidRPr="005A26B0">
        <w:rPr>
          <w:b w:val="0"/>
          <w:bCs/>
        </w:rPr>
        <w:t xml:space="preserve">» — право утверждать выделение средств из бюджетов капиталовложений и эксплутационных расходов в соответствии с процедурой FIN.01.02 «Утверждение затратных смет (AFE) и контроль затрат».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Полномочия принимать договорные обязательства</w:t>
      </w:r>
      <w:r w:rsidRPr="005A26B0">
        <w:rPr>
          <w:b w:val="0"/>
          <w:bCs/>
        </w:rPr>
        <w:t xml:space="preserve">» —  широкие, всеобъемлющие права, осуществляемые Советом Директоров и передаваемые </w:t>
      </w:r>
      <w:r w:rsidR="00E96890">
        <w:rPr>
          <w:b w:val="0"/>
          <w:bCs/>
        </w:rPr>
        <w:t>Генеральному Директор</w:t>
      </w:r>
      <w:r w:rsidRPr="005A26B0">
        <w:rPr>
          <w:b w:val="0"/>
          <w:bCs/>
        </w:rPr>
        <w:t xml:space="preserve">у с целью обязать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предпринять действия, требующие последующего «утверждения расходов» и «утверждения </w:t>
      </w:r>
      <w:r w:rsidRPr="005A26B0">
        <w:rPr>
          <w:b w:val="0"/>
          <w:bCs/>
        </w:rPr>
        <w:lastRenderedPageBreak/>
        <w:t xml:space="preserve">платежей». Полномочия принимать договорные обязательства осуществляются при утверждении рабочей программы и бюджета, решений по существенным вопросам, а также обязательств, классифицированных в передаче полномочий. 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Компания</w:t>
      </w:r>
      <w:r w:rsidRPr="005A26B0">
        <w:rPr>
          <w:b w:val="0"/>
          <w:bCs/>
        </w:rPr>
        <w:t xml:space="preserve">» -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, созданная в соответствии с законодательством </w:t>
      </w:r>
      <w:r w:rsidR="00E96890">
        <w:rPr>
          <w:b w:val="0"/>
          <w:bCs/>
        </w:rPr>
        <w:t>________</w:t>
      </w:r>
      <w:r w:rsidRPr="005A26B0">
        <w:rPr>
          <w:b w:val="0"/>
          <w:bCs/>
        </w:rPr>
        <w:t xml:space="preserve">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Начальник департамента</w:t>
      </w:r>
      <w:r w:rsidRPr="005A26B0">
        <w:rPr>
          <w:b w:val="0"/>
          <w:bCs/>
        </w:rPr>
        <w:t xml:space="preserve">»  - лицо, подчиняющееся непосредственно </w:t>
      </w:r>
      <w:r w:rsidR="00E96890">
        <w:rPr>
          <w:b w:val="0"/>
          <w:bCs/>
        </w:rPr>
        <w:t>Генеральному Директор</w:t>
      </w:r>
      <w:r w:rsidRPr="005A26B0">
        <w:rPr>
          <w:b w:val="0"/>
          <w:bCs/>
        </w:rPr>
        <w:t xml:space="preserve">у Компании.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Исполнительные полномочия</w:t>
      </w:r>
      <w:r w:rsidRPr="005A26B0">
        <w:rPr>
          <w:b w:val="0"/>
          <w:bCs/>
        </w:rPr>
        <w:t xml:space="preserve">» - право подписывать письма, соглашения, договоры и прочие документы во исполнение взятых обязательств, что связывает Компанию обещанием выполнять закрепленные в таких документах обязательства.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Полномочия утверждать расходы</w:t>
      </w:r>
      <w:r w:rsidRPr="005A26B0">
        <w:rPr>
          <w:b w:val="0"/>
          <w:bCs/>
        </w:rPr>
        <w:t xml:space="preserve">» — официально переданное право утверждать действия, в результате которых возникает долг или денежное обязательство, требующие соответственно погашения или выполнения Компанией. Это обычно относится к утверждению счетов по факту получения материалов или удовлетворительного выполнения работ, причем такие полномочия осуществляются в соответствии с утвержденной рабочей программой и бюджетом компании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Право юридической санкции</w:t>
      </w:r>
      <w:r w:rsidRPr="005A26B0">
        <w:rPr>
          <w:b w:val="0"/>
          <w:bCs/>
        </w:rPr>
        <w:t xml:space="preserve">» — полномочия утверждать письма, соглашения, договора и прочие документы, связанные с соблюдением законодательства и нормативных актов. ПРИМЕЧАНИЕ: Правом юридической санкции обладает только </w:t>
      </w:r>
      <w:r w:rsidR="00E96890">
        <w:rPr>
          <w:b w:val="0"/>
          <w:bCs/>
        </w:rPr>
        <w:t xml:space="preserve">Директор </w:t>
      </w:r>
      <w:r w:rsidRPr="005A26B0">
        <w:rPr>
          <w:b w:val="0"/>
          <w:bCs/>
        </w:rPr>
        <w:t xml:space="preserve">по финансам. По правилам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всякий документ, накладывающий на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 какие-либо обязательства, должен получить юридическую санкцию до подписания его Компанией. 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Полномочия утверждать административно-хозяйственные мероприятия</w:t>
      </w:r>
      <w:r w:rsidRPr="005A26B0">
        <w:rPr>
          <w:b w:val="0"/>
          <w:bCs/>
        </w:rPr>
        <w:t xml:space="preserve">» - право рассматривать и утверждать условия экономической деятельности, предусмотренные в документах, представляемых на подпись Компании. 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Участники</w:t>
      </w:r>
      <w:r w:rsidRPr="005A26B0">
        <w:rPr>
          <w:b w:val="0"/>
          <w:bCs/>
        </w:rPr>
        <w:t xml:space="preserve">» - акционеры компании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Совет Директоров</w:t>
      </w:r>
      <w:r w:rsidRPr="005A26B0">
        <w:rPr>
          <w:b w:val="0"/>
          <w:bCs/>
        </w:rPr>
        <w:t xml:space="preserve">» — руководящий орган компании, учрежденный в соответствии с уставом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 xml:space="preserve">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«</w:t>
      </w:r>
      <w:r w:rsidRPr="005A26B0">
        <w:t>Полномочия утверждать платежи</w:t>
      </w:r>
      <w:r w:rsidRPr="005A26B0">
        <w:rPr>
          <w:b w:val="0"/>
          <w:bCs/>
        </w:rPr>
        <w:t xml:space="preserve">» - право утверждать фактические выплаты денежных средств по обязательствам, возникающим в результате осуществления полномочий утверждать расходы.  ПРИМЕЧАНИЕ: Полномочиями утверждать платежи обладает только </w:t>
      </w:r>
      <w:r w:rsidR="00E96890">
        <w:rPr>
          <w:b w:val="0"/>
          <w:bCs/>
        </w:rPr>
        <w:t xml:space="preserve">Директор </w:t>
      </w:r>
      <w:r w:rsidRPr="005A26B0">
        <w:rPr>
          <w:b w:val="0"/>
          <w:bCs/>
        </w:rPr>
        <w:t xml:space="preserve"> по финансам.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 «</w:t>
      </w:r>
      <w:r w:rsidRPr="005A26B0">
        <w:t>Утвержденная рабочая программа и  бюджет</w:t>
      </w:r>
      <w:r w:rsidRPr="005A26B0">
        <w:rPr>
          <w:b w:val="0"/>
          <w:bCs/>
        </w:rPr>
        <w:t xml:space="preserve">» - разработанные </w:t>
      </w:r>
      <w:r w:rsidR="00E96890">
        <w:rPr>
          <w:b w:val="0"/>
          <w:bCs/>
        </w:rPr>
        <w:t>_________</w:t>
      </w:r>
      <w:r w:rsidRPr="005A26B0">
        <w:rPr>
          <w:b w:val="0"/>
          <w:bCs/>
        </w:rPr>
        <w:t>, утвержденные Советом Директоров и реализуемые в соответствии с Политикой Компании «О защите инвестиций».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4229E9">
        <w:t xml:space="preserve">ОТВЕТСТВЕННОСТЬ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Все представители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, которым были переданы полном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очия в соответствии с настоящей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литикой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, обязаны обеспечивать соблюдение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ее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требований.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По условиям настоящей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Политики,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 xml:space="preserve">Директор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по финансам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обладает 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 xml:space="preserve">следующими особыми полномочиями: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вести учет оригиналов всех имеющих на данный момент силу документов о передаче полномочий и осуществлять внутренний контроль, исключающий превышение полномочий, делегированных в соответствии с данной Политикий.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обеспечивать соответствие осуществления всех расходов действующему законодательству Республики </w:t>
      </w:r>
      <w:r w:rsidR="00E96890">
        <w:rPr>
          <w:b w:val="0"/>
          <w:bCs/>
        </w:rPr>
        <w:t>Казахстан</w:t>
      </w:r>
      <w:r w:rsidRPr="005A26B0">
        <w:rPr>
          <w:b w:val="0"/>
          <w:bCs/>
        </w:rPr>
        <w:t xml:space="preserve">, этическим нормам и правилам;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вести документацию и отчетность для контроля расходов и обеспечения их соответствия утвержденным бюджетам и планам заключения контрактов на подрядные работы;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 xml:space="preserve">утверждать платежи; </w:t>
      </w:r>
    </w:p>
    <w:p w:rsidR="00FE2065" w:rsidRPr="005A26B0" w:rsidRDefault="00FE2065" w:rsidP="00FE2065">
      <w:pPr>
        <w:pStyle w:val="UzPECPP"/>
        <w:widowControl/>
        <w:numPr>
          <w:ilvl w:val="1"/>
          <w:numId w:val="8"/>
        </w:numPr>
        <w:tabs>
          <w:tab w:val="num" w:pos="792"/>
        </w:tabs>
        <w:autoSpaceDE/>
        <w:autoSpaceDN/>
        <w:adjustRightInd/>
        <w:rPr>
          <w:b w:val="0"/>
          <w:bCs/>
        </w:rPr>
      </w:pPr>
      <w:r w:rsidRPr="005A26B0">
        <w:rPr>
          <w:b w:val="0"/>
          <w:bCs/>
        </w:rPr>
        <w:t>утверждать выплату Компанией авансов одному подрядчику или поставщику.</w:t>
      </w:r>
    </w:p>
    <w:p w:rsidR="00FE2065" w:rsidRPr="00E20911" w:rsidRDefault="00FE2065" w:rsidP="00FE2065">
      <w:pPr>
        <w:pStyle w:val="Default"/>
        <w:jc w:val="both"/>
        <w:rPr>
          <w:rFonts w:ascii="Verdana" w:hAnsi="Verdana" w:cs="Verdana"/>
          <w:sz w:val="22"/>
          <w:szCs w:val="22"/>
          <w:lang w:val="ru-RU"/>
        </w:rPr>
      </w:pP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4229E9">
        <w:t xml:space="preserve">ИСКЛЮЧЕНИЯ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Исключения из настоящей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Пол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итики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утверждаются исключительно </w:t>
      </w:r>
      <w:r w:rsidR="00E87E38">
        <w:rPr>
          <w:rFonts w:ascii="Verdana" w:hAnsi="Verdana" w:cs="Verdana"/>
          <w:color w:val="000000"/>
          <w:sz w:val="22"/>
          <w:szCs w:val="22"/>
          <w:lang w:val="ru-RU"/>
        </w:rPr>
        <w:t>Генеральным 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ом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4229E9">
        <w:t>ОТЧЕТНОСТЬ</w:t>
      </w:r>
    </w:p>
    <w:p w:rsidR="00FE2065" w:rsidRPr="004229E9" w:rsidRDefault="00FE2065" w:rsidP="00FE2065">
      <w:pPr>
        <w:pStyle w:val="UzPECPP"/>
        <w:numPr>
          <w:ilvl w:val="0"/>
          <w:numId w:val="0"/>
        </w:numPr>
      </w:pPr>
      <w:r w:rsidRPr="004229E9">
        <w:t xml:space="preserve"> </w:t>
      </w: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Определенных требований по ведению отчетности нет.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4229E9">
        <w:t xml:space="preserve">ДАТА ВСТУПЛЕНИЯ В СИЛУ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E20911" w:rsidRDefault="00E87E38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__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</w:t>
      </w:r>
      <w:r w:rsidR="00FE2065"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FE2065">
        <w:rPr>
          <w:rFonts w:ascii="Verdana" w:hAnsi="Verdana" w:cs="Verdana"/>
          <w:color w:val="000000"/>
          <w:sz w:val="22"/>
          <w:szCs w:val="22"/>
          <w:lang w:val="ru-RU"/>
        </w:rPr>
        <w:t>20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8E0621">
        <w:t>СРОК ДЕЙСТВИЯ/</w:t>
      </w:r>
      <w:r>
        <w:t>ПЕРЕСМОТРА</w:t>
      </w:r>
      <w:r w:rsidRPr="008E0621">
        <w:t xml:space="preserve"> </w:t>
      </w:r>
      <w:r>
        <w:t>ПОЛИТИКИ</w:t>
      </w:r>
      <w:r w:rsidRPr="008E0621">
        <w:t xml:space="preserve">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Пересмотр настоящей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Пол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итики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проводится ежегодно или в сроки, определяемые </w:t>
      </w:r>
      <w:r w:rsidR="00E87E38">
        <w:rPr>
          <w:rFonts w:ascii="Verdana" w:hAnsi="Verdana" w:cs="Verdana"/>
          <w:color w:val="000000"/>
          <w:sz w:val="22"/>
          <w:szCs w:val="22"/>
          <w:lang w:val="ru-RU"/>
        </w:rPr>
        <w:t>Генеральным Директор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ом </w:t>
      </w:r>
      <w:r w:rsidR="00E96890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.   </w:t>
      </w:r>
    </w:p>
    <w:p w:rsidR="00FE2065" w:rsidRDefault="00FE2065" w:rsidP="00FE2065">
      <w:pPr>
        <w:pStyle w:val="UzPECPP"/>
        <w:widowControl/>
        <w:tabs>
          <w:tab w:val="clear" w:pos="0"/>
          <w:tab w:val="num" w:pos="360"/>
        </w:tabs>
        <w:autoSpaceDE/>
        <w:autoSpaceDN/>
        <w:adjustRightInd/>
        <w:ind w:left="0" w:firstLine="0"/>
      </w:pPr>
      <w:r w:rsidRPr="008E0621">
        <w:t xml:space="preserve">КУРАТОР </w:t>
      </w:r>
    </w:p>
    <w:p w:rsidR="00FE2065" w:rsidRPr="005A26B0" w:rsidRDefault="00FE2065" w:rsidP="00FE2065">
      <w:pPr>
        <w:pStyle w:val="PlainText"/>
        <w:rPr>
          <w:lang w:val="ru-RU"/>
        </w:rPr>
      </w:pPr>
    </w:p>
    <w:p w:rsidR="00FE2065" w:rsidRDefault="00FE2065" w:rsidP="00FE2065">
      <w:pPr>
        <w:spacing w:after="1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>Финансов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ый департамент</w:t>
      </w:r>
      <w:r w:rsidRPr="00E2091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FE2065" w:rsidRDefault="00FE2065" w:rsidP="00FE2065">
      <w:pPr>
        <w:pStyle w:val="Default"/>
        <w:rPr>
          <w:lang w:val="ru-RU"/>
        </w:rPr>
      </w:pPr>
    </w:p>
    <w:p w:rsidR="00FE2065" w:rsidRDefault="00FE2065" w:rsidP="00FE2065">
      <w:pPr>
        <w:pStyle w:val="Default"/>
        <w:rPr>
          <w:lang w:val="ru-RU"/>
        </w:rPr>
      </w:pPr>
    </w:p>
    <w:p w:rsidR="00FE2065" w:rsidRDefault="00FE2065" w:rsidP="00FE2065">
      <w:pPr>
        <w:pStyle w:val="Default"/>
        <w:rPr>
          <w:lang w:val="ru-RU"/>
        </w:rPr>
      </w:pPr>
    </w:p>
    <w:p w:rsidR="00FE2065" w:rsidRPr="00CC05AF" w:rsidRDefault="00FE2065" w:rsidP="00FE2065">
      <w:pPr>
        <w:pStyle w:val="Default"/>
        <w:rPr>
          <w:rFonts w:ascii="Verdana" w:hAnsi="Verdana" w:cs="Verdana"/>
          <w:lang w:val="ru-RU"/>
        </w:rPr>
      </w:pPr>
    </w:p>
    <w:p w:rsidR="00FE2065" w:rsidRPr="005A26B0" w:rsidRDefault="00FE2065" w:rsidP="00FE2065">
      <w:pPr>
        <w:pStyle w:val="Default"/>
        <w:rPr>
          <w:rFonts w:ascii="Verdana" w:hAnsi="Verdana" w:cs="Verdana"/>
          <w:b/>
          <w:bCs/>
          <w:i/>
          <w:iCs/>
          <w:lang w:val="ru-RU"/>
        </w:rPr>
      </w:pPr>
      <w:r w:rsidRPr="005A26B0">
        <w:rPr>
          <w:rFonts w:ascii="Verdana" w:hAnsi="Verdana" w:cs="Verdana"/>
          <w:b/>
          <w:bCs/>
          <w:i/>
          <w:iCs/>
          <w:lang w:val="ru-RU"/>
        </w:rPr>
        <w:t>СОГЛАСОВАНО:</w:t>
      </w:r>
    </w:p>
    <w:p w:rsidR="00FE2065" w:rsidRPr="00CC05AF" w:rsidRDefault="00FE2065" w:rsidP="00FE2065">
      <w:pPr>
        <w:pStyle w:val="Default"/>
        <w:rPr>
          <w:rFonts w:ascii="Verdana" w:hAnsi="Verdana" w:cs="Verdana"/>
          <w:b/>
          <w:bCs/>
          <w:lang w:val="ru-RU"/>
        </w:rPr>
      </w:pPr>
    </w:p>
    <w:p w:rsidR="00FE2065" w:rsidRPr="005A26B0" w:rsidRDefault="00FE2065" w:rsidP="00FE2065">
      <w:pPr>
        <w:pStyle w:val="Default"/>
        <w:rPr>
          <w:rFonts w:ascii="Verdana" w:hAnsi="Verdana" w:cs="Verdana"/>
          <w:b/>
          <w:bCs/>
          <w:lang w:val="ru-RU"/>
        </w:rPr>
      </w:pPr>
      <w:r w:rsidRPr="005A26B0">
        <w:rPr>
          <w:rFonts w:ascii="Verdana" w:hAnsi="Verdana" w:cs="Verdana"/>
          <w:b/>
          <w:bCs/>
          <w:lang w:val="ru-RU"/>
        </w:rPr>
        <w:t>Председатель Совета Директоров</w:t>
      </w:r>
    </w:p>
    <w:p w:rsidR="00FE2065" w:rsidRPr="005A26B0" w:rsidRDefault="00E96890" w:rsidP="00FE2065">
      <w:pPr>
        <w:pStyle w:val="Default"/>
        <w:rPr>
          <w:rFonts w:ascii="Verdana" w:hAnsi="Verdana" w:cs="Verdana"/>
          <w:b/>
          <w:bCs/>
          <w:lang w:val="ru-RU"/>
        </w:rPr>
      </w:pPr>
      <w:r>
        <w:rPr>
          <w:rFonts w:ascii="Verdana" w:hAnsi="Verdana" w:cs="Verdana"/>
          <w:b/>
          <w:bCs/>
          <w:lang w:val="ru-RU"/>
        </w:rPr>
        <w:t>_________</w:t>
      </w:r>
      <w:r w:rsidR="00FE2065" w:rsidRPr="005A26B0">
        <w:rPr>
          <w:rFonts w:ascii="Verdana" w:hAnsi="Verdana" w:cs="Verdana"/>
          <w:b/>
          <w:bCs/>
          <w:lang w:val="ru-RU"/>
        </w:rPr>
        <w:t xml:space="preserve"> </w:t>
      </w:r>
      <w:r w:rsidR="00E87E38">
        <w:rPr>
          <w:rFonts w:ascii="Verdana" w:hAnsi="Verdana" w:cs="Verdana"/>
          <w:b/>
          <w:bCs/>
          <w:lang w:val="ru-RU"/>
        </w:rPr>
        <w:t>____</w:t>
      </w:r>
      <w:r w:rsidR="00FE2065" w:rsidRPr="005A26B0">
        <w:rPr>
          <w:rFonts w:ascii="Verdana" w:hAnsi="Verdana" w:cs="Verdana"/>
          <w:b/>
          <w:bCs/>
          <w:lang w:val="ru-RU"/>
        </w:rPr>
        <w:tab/>
      </w:r>
      <w:r w:rsidR="00FE2065" w:rsidRPr="005A26B0">
        <w:rPr>
          <w:rFonts w:ascii="Verdana" w:hAnsi="Verdana" w:cs="Verdana"/>
          <w:b/>
          <w:bCs/>
          <w:lang w:val="ru-RU"/>
        </w:rPr>
        <w:tab/>
      </w:r>
      <w:r w:rsidR="00FE2065">
        <w:rPr>
          <w:rFonts w:ascii="Verdana" w:hAnsi="Verdana" w:cs="Verdana"/>
          <w:b/>
          <w:bCs/>
          <w:lang w:val="ru-RU"/>
        </w:rPr>
        <w:t xml:space="preserve">              </w:t>
      </w:r>
      <w:r w:rsidR="00E87E38">
        <w:rPr>
          <w:rFonts w:ascii="Verdana" w:hAnsi="Verdana" w:cs="Verdana"/>
          <w:b/>
          <w:bCs/>
          <w:lang w:val="ru-RU"/>
        </w:rPr>
        <w:t>_______________</w:t>
      </w:r>
    </w:p>
    <w:p w:rsidR="00FE2065" w:rsidRPr="00E20911" w:rsidRDefault="00FE2065" w:rsidP="00FE2065">
      <w:pPr>
        <w:pStyle w:val="Default"/>
        <w:jc w:val="both"/>
        <w:rPr>
          <w:rFonts w:ascii="Verdana" w:hAnsi="Verdana" w:cs="Verdana"/>
          <w:color w:val="auto"/>
          <w:sz w:val="22"/>
          <w:szCs w:val="22"/>
          <w:lang w:val="ru-RU"/>
        </w:rPr>
      </w:pPr>
    </w:p>
    <w:p w:rsidR="00FE2065" w:rsidRPr="00E20911" w:rsidRDefault="00FE2065" w:rsidP="00FE2065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:rsidR="00FE2065" w:rsidRPr="00E20911" w:rsidRDefault="00FE2065" w:rsidP="00FE2065">
      <w:pPr>
        <w:spacing w:after="120"/>
        <w:jc w:val="both"/>
        <w:rPr>
          <w:rFonts w:ascii="Verdana" w:hAnsi="Verdana" w:cs="Verdana"/>
          <w:sz w:val="22"/>
          <w:szCs w:val="22"/>
          <w:lang w:val="ru-RU"/>
        </w:rPr>
      </w:pPr>
      <w:r w:rsidRPr="00E20911">
        <w:rPr>
          <w:rFonts w:ascii="Verdana" w:hAnsi="Verdana" w:cs="Verdana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jc w:val="both"/>
        <w:rPr>
          <w:rFonts w:ascii="Verdana" w:hAnsi="Verdana" w:cs="Verdana"/>
          <w:sz w:val="22"/>
          <w:szCs w:val="22"/>
          <w:lang w:val="ru-RU"/>
        </w:rPr>
      </w:pPr>
      <w:r w:rsidRPr="00E20911">
        <w:rPr>
          <w:rFonts w:ascii="Verdana" w:hAnsi="Verdana" w:cs="Verdana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jc w:val="both"/>
        <w:rPr>
          <w:rFonts w:ascii="Verdana" w:hAnsi="Verdana" w:cs="Verdana"/>
          <w:sz w:val="22"/>
          <w:szCs w:val="22"/>
          <w:lang w:val="ru-RU"/>
        </w:rPr>
        <w:sectPr w:rsidR="00FE2065" w:rsidRPr="00E20911" w:rsidSect="00FE2065">
          <w:headerReference w:type="default" r:id="rId7"/>
          <w:footerReference w:type="default" r:id="rId8"/>
          <w:pgSz w:w="12240" w:h="15840"/>
          <w:pgMar w:top="1134" w:right="1170" w:bottom="1134" w:left="1701" w:header="720" w:footer="720" w:gutter="0"/>
          <w:cols w:space="720"/>
          <w:noEndnote/>
        </w:sectPr>
      </w:pPr>
      <w:r w:rsidRPr="00E20911">
        <w:rPr>
          <w:rFonts w:ascii="Verdana" w:hAnsi="Verdana" w:cs="Verdana"/>
          <w:sz w:val="22"/>
          <w:szCs w:val="22"/>
          <w:lang w:val="ru-RU"/>
        </w:rPr>
        <w:t xml:space="preserve"> </w:t>
      </w:r>
    </w:p>
    <w:p w:rsidR="00FE2065" w:rsidRPr="00E20911" w:rsidRDefault="00FE2065" w:rsidP="00FE2065">
      <w:pPr>
        <w:pStyle w:val="Default"/>
        <w:jc w:val="both"/>
        <w:rPr>
          <w:rFonts w:ascii="Verdana" w:hAnsi="Verdana" w:cs="Verdana"/>
          <w:color w:val="auto"/>
          <w:sz w:val="22"/>
          <w:szCs w:val="22"/>
          <w:lang w:val="ru-RU"/>
        </w:rPr>
      </w:pPr>
    </w:p>
    <w:p w:rsidR="00881450" w:rsidRPr="00FE2065" w:rsidRDefault="00881450">
      <w:pPr>
        <w:rPr>
          <w:lang w:val="ru-RU"/>
        </w:rPr>
      </w:pPr>
    </w:p>
    <w:sectPr w:rsidR="00881450" w:rsidRPr="00FE2065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E0" w:rsidRDefault="00A015E0">
      <w:r>
        <w:separator/>
      </w:r>
    </w:p>
  </w:endnote>
  <w:endnote w:type="continuationSeparator" w:id="0">
    <w:p w:rsidR="00A015E0" w:rsidRDefault="00A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_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65" w:rsidRPr="00E20911" w:rsidRDefault="00FE2065" w:rsidP="00FE2065">
    <w:pPr>
      <w:pStyle w:val="Footer"/>
      <w:jc w:val="center"/>
      <w:rPr>
        <w:rFonts w:ascii="Verdana" w:hAnsi="Verdana" w:cs="Verdana"/>
      </w:rPr>
    </w:pPr>
    <w:r w:rsidRPr="00E20911">
      <w:rPr>
        <w:rFonts w:ascii="Verdana" w:hAnsi="Verdana" w:cs="Verdana"/>
      </w:rPr>
      <w:fldChar w:fldCharType="begin"/>
    </w:r>
    <w:r w:rsidRPr="00E20911">
      <w:rPr>
        <w:rFonts w:ascii="Verdana" w:hAnsi="Verdana" w:cs="Verdana"/>
      </w:rPr>
      <w:instrText xml:space="preserve"> PAGE </w:instrText>
    </w:r>
    <w:r w:rsidRPr="00E20911">
      <w:rPr>
        <w:rFonts w:ascii="Verdana" w:hAnsi="Verdana" w:cs="Verdana"/>
      </w:rPr>
      <w:fldChar w:fldCharType="separate"/>
    </w:r>
    <w:r w:rsidR="00E87E38">
      <w:rPr>
        <w:rFonts w:ascii="Verdana" w:hAnsi="Verdana" w:cs="Verdana"/>
        <w:noProof/>
      </w:rPr>
      <w:t>1</w:t>
    </w:r>
    <w:r w:rsidRPr="00E20911">
      <w:rPr>
        <w:rFonts w:ascii="Verdana" w:hAnsi="Verdana" w:cs="Verdana"/>
      </w:rPr>
      <w:fldChar w:fldCharType="end"/>
    </w:r>
    <w:r w:rsidRPr="00E20911">
      <w:rPr>
        <w:rFonts w:ascii="Verdana" w:hAnsi="Verdana" w:cs="Verdana"/>
      </w:rPr>
      <w:t xml:space="preserve"> - </w:t>
    </w:r>
    <w:r w:rsidRPr="00E20911">
      <w:rPr>
        <w:rFonts w:ascii="Verdana" w:hAnsi="Verdana" w:cs="Verdana"/>
      </w:rPr>
      <w:fldChar w:fldCharType="begin"/>
    </w:r>
    <w:r w:rsidRPr="00E20911">
      <w:rPr>
        <w:rFonts w:ascii="Verdana" w:hAnsi="Verdana" w:cs="Verdana"/>
      </w:rPr>
      <w:instrText xml:space="preserve"> NUMPAGES </w:instrText>
    </w:r>
    <w:r w:rsidRPr="00E20911">
      <w:rPr>
        <w:rFonts w:ascii="Verdana" w:hAnsi="Verdana" w:cs="Verdana"/>
      </w:rPr>
      <w:fldChar w:fldCharType="separate"/>
    </w:r>
    <w:r w:rsidR="00E87E38">
      <w:rPr>
        <w:rFonts w:ascii="Verdana" w:hAnsi="Verdana" w:cs="Verdana"/>
        <w:noProof/>
      </w:rPr>
      <w:t>7</w:t>
    </w:r>
    <w:r w:rsidRPr="00E20911">
      <w:rPr>
        <w:rFonts w:ascii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E0" w:rsidRDefault="00A015E0">
      <w:r>
        <w:separator/>
      </w:r>
    </w:p>
  </w:footnote>
  <w:footnote w:type="continuationSeparator" w:id="0">
    <w:p w:rsidR="00A015E0" w:rsidRDefault="00A0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65" w:rsidRPr="00E20911" w:rsidRDefault="00FE2065" w:rsidP="00FE2065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GEN.05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0A4"/>
    <w:multiLevelType w:val="multilevel"/>
    <w:tmpl w:val="450C6536"/>
    <w:lvl w:ilvl="0">
      <w:start w:val="1"/>
      <w:numFmt w:val="decimal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1" w15:restartNumberingAfterBreak="0">
    <w:nsid w:val="0934306E"/>
    <w:multiLevelType w:val="multilevel"/>
    <w:tmpl w:val="539AAABC"/>
    <w:lvl w:ilvl="0">
      <w:start w:val="1"/>
      <w:numFmt w:val="lowerLet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2" w15:restartNumberingAfterBreak="0">
    <w:nsid w:val="14150DE3"/>
    <w:multiLevelType w:val="multilevel"/>
    <w:tmpl w:val="BD3C533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107D2"/>
    <w:multiLevelType w:val="multilevel"/>
    <w:tmpl w:val="539AAABC"/>
    <w:lvl w:ilvl="0">
      <w:start w:val="1"/>
      <w:numFmt w:val="lowerLetter"/>
      <w:pStyle w:val="Head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4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5"/>
    <w:rsid w:val="0011535A"/>
    <w:rsid w:val="00171B45"/>
    <w:rsid w:val="002B720E"/>
    <w:rsid w:val="003B624C"/>
    <w:rsid w:val="004D63AE"/>
    <w:rsid w:val="00640A51"/>
    <w:rsid w:val="00731531"/>
    <w:rsid w:val="00813562"/>
    <w:rsid w:val="00881450"/>
    <w:rsid w:val="0090170B"/>
    <w:rsid w:val="00922B62"/>
    <w:rsid w:val="00A015E0"/>
    <w:rsid w:val="00A76C65"/>
    <w:rsid w:val="00AB568C"/>
    <w:rsid w:val="00E73BAD"/>
    <w:rsid w:val="00E87E38"/>
    <w:rsid w:val="00E96890"/>
    <w:rsid w:val="00EC167C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E3F229-2F7F-47E3-A1FA-B4213A08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FE2065"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FE2065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FE20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E2065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Default"/>
    <w:next w:val="Default"/>
    <w:rsid w:val="00FE2065"/>
    <w:rPr>
      <w:color w:val="auto"/>
    </w:rPr>
  </w:style>
  <w:style w:type="paragraph" w:customStyle="1" w:styleId="UzPECPP">
    <w:name w:val="UzPEC P&amp;P"/>
    <w:basedOn w:val="PlainText"/>
    <w:next w:val="PlainText"/>
    <w:autoRedefine/>
    <w:rsid w:val="00EC167C"/>
    <w:pPr>
      <w:numPr>
        <w:numId w:val="7"/>
      </w:numPr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90170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FE2065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UzPEC</Company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Klinchev</dc:creator>
  <cp:keywords/>
  <dc:description/>
  <cp:lastModifiedBy>User</cp:lastModifiedBy>
  <cp:revision>2</cp:revision>
  <dcterms:created xsi:type="dcterms:W3CDTF">2021-02-09T14:30:00Z</dcterms:created>
  <dcterms:modified xsi:type="dcterms:W3CDTF">2021-02-09T14:30:00Z</dcterms:modified>
</cp:coreProperties>
</file>